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Карта оценки профессиональных рисков № 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оценки – </w:t>
      </w:r>
      <w:r>
        <w:rPr>
          <w:rFonts w:hAnsi="Times New Roman" w:cs="Times New Roman"/>
          <w:color w:val="000000"/>
          <w:sz w:val="24"/>
          <w:szCs w:val="24"/>
        </w:rPr>
        <w:t>10.08.2021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опа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Фактор 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Вероятность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Подверженность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Последствия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Индекс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 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устранению риска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*</w:t>
      </w:r>
      <w:r>
        <w:rPr>
          <w:rFonts w:hAnsi="Times New Roman" w:cs="Times New Roman"/>
          <w:color w:val="000000"/>
          <w:sz w:val="24"/>
          <w:szCs w:val="24"/>
        </w:rPr>
        <w:t>Подробный план мероприятий составляют отдельно – с указанием ответственного лица за каждый конкретный пункт плана, сроков выполнения,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 необходимости – источников финансирования.</w:t>
      </w:r>
    </w:p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61bad7175864b4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